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spacing w:before="33"/>
        <w:ind w:right="3021" w:firstLine="1566" w:firstLineChars="300"/>
        <w:jc w:val="both"/>
        <w:rPr>
          <w:b/>
          <w:sz w:val="69"/>
        </w:rPr>
      </w:pPr>
      <w:r>
        <w:rPr>
          <w:b/>
          <w:sz w:val="52"/>
          <w:szCs w:val="52"/>
        </w:rPr>
        <w:t>智能低压分路监测单元</w:t>
      </w:r>
    </w:p>
    <w:p>
      <w:pPr>
        <w:pStyle w:val="2"/>
        <w:numPr>
          <w:ilvl w:val="0"/>
          <w:numId w:val="1"/>
        </w:numPr>
        <w:tabs>
          <w:tab w:val="left" w:pos="377"/>
        </w:tabs>
        <w:spacing w:before="0" w:after="0" w:line="240" w:lineRule="auto"/>
        <w:ind w:left="376" w:right="0" w:hanging="160"/>
        <w:jc w:val="left"/>
      </w:pPr>
      <w:r>
        <w:t>产品概述</w:t>
      </w:r>
    </w:p>
    <w:p>
      <w:pPr>
        <w:pStyle w:val="3"/>
        <w:spacing w:before="43" w:line="360" w:lineRule="auto"/>
        <w:ind w:left="217" w:right="1115" w:firstLine="420"/>
        <w:rPr>
          <w:sz w:val="24"/>
          <w:szCs w:val="24"/>
        </w:rPr>
      </w:pPr>
      <w:r>
        <w:rPr>
          <w:sz w:val="24"/>
          <w:szCs w:val="24"/>
        </w:rPr>
        <w:t>分路监测单元即智能低压分路监测单元（</w:t>
      </w:r>
      <w:r>
        <w:rPr>
          <w:rFonts w:ascii="Times New Roman" w:eastAsia="Times New Roman"/>
          <w:sz w:val="24"/>
          <w:szCs w:val="24"/>
        </w:rPr>
        <w:t>Smart monitoring unit of low-voltage distribution network branch</w:t>
      </w:r>
      <w:r>
        <w:rPr>
          <w:sz w:val="24"/>
          <w:szCs w:val="24"/>
        </w:rPr>
        <w:t>），按相别安装于低压配电网箱式变电站、小区配电室、柱上变压器等处的</w:t>
      </w:r>
      <w:r>
        <w:rPr>
          <w:rFonts w:ascii="Times New Roman" w:eastAsia="Times New Roman"/>
          <w:sz w:val="24"/>
          <w:szCs w:val="24"/>
        </w:rPr>
        <w:t xml:space="preserve">400V </w:t>
      </w:r>
      <w:r>
        <w:rPr>
          <w:sz w:val="24"/>
          <w:szCs w:val="24"/>
        </w:rPr>
        <w:t xml:space="preserve">分支线路上，实现低压 </w:t>
      </w:r>
      <w:r>
        <w:rPr>
          <w:rFonts w:ascii="Times New Roman" w:eastAsia="Times New Roman"/>
          <w:sz w:val="24"/>
          <w:szCs w:val="24"/>
        </w:rPr>
        <w:t xml:space="preserve">400V </w:t>
      </w:r>
      <w:r>
        <w:rPr>
          <w:sz w:val="24"/>
          <w:szCs w:val="24"/>
        </w:rPr>
        <w:t>分支线路运行状态的监测以及线路故障状态的指示功能。</w:t>
      </w:r>
    </w:p>
    <w:p>
      <w:pPr>
        <w:pStyle w:val="3"/>
        <w:spacing w:line="360" w:lineRule="auto"/>
        <w:ind w:left="217" w:right="1208" w:firstLine="42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智能低压分路监测单元采用一体化设计，低功耗的实现电气监测、故障检测、温度传感功能具备明显的运行状态以及故障状态指示、兼顾信息化监控与就地指示需求宽范围采集、 </w:t>
      </w:r>
      <w:r>
        <w:rPr>
          <w:spacing w:val="-4"/>
          <w:w w:val="95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线性程度高、过载能力强，</w:t>
      </w:r>
      <w:r>
        <w:rPr>
          <w:rFonts w:ascii="Times New Roman" w:eastAsia="Times New Roman"/>
          <w:spacing w:val="-4"/>
          <w:sz w:val="24"/>
          <w:szCs w:val="24"/>
        </w:rPr>
        <w:t xml:space="preserve">10 </w:t>
      </w:r>
      <w:r>
        <w:rPr>
          <w:sz w:val="24"/>
          <w:szCs w:val="24"/>
        </w:rPr>
        <w:t>倍额定电流过载下无绝缘损坏。采用开合式结构，具备锁紧部件，无需电缆拆卸，安装方便。</w:t>
      </w:r>
    </w:p>
    <w:p>
      <w:pPr>
        <w:pStyle w:val="3"/>
        <w:spacing w:line="360" w:lineRule="auto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防护等级 </w:t>
      </w:r>
      <w:r>
        <w:rPr>
          <w:rFonts w:ascii="Times New Roman" w:hAnsi="Times New Roman" w:eastAsia="Times New Roman"/>
          <w:sz w:val="24"/>
          <w:szCs w:val="24"/>
        </w:rPr>
        <w:t>IP67</w:t>
      </w:r>
      <w:r>
        <w:rPr>
          <w:sz w:val="24"/>
          <w:szCs w:val="24"/>
        </w:rPr>
        <w:t>，</w:t>
      </w:r>
      <w:r>
        <w:rPr>
          <w:rFonts w:ascii="Times New Roman" w:hAnsi="Times New Roman" w:eastAsia="Times New Roman"/>
          <w:sz w:val="24"/>
          <w:szCs w:val="24"/>
        </w:rPr>
        <w:t>-40~70</w:t>
      </w:r>
      <w:r>
        <w:rPr>
          <w:sz w:val="24"/>
          <w:szCs w:val="24"/>
        </w:rPr>
        <w:t>℃稳定运行，复杂环境下可靠稳定运行。</w:t>
      </w:r>
    </w:p>
    <w:p>
      <w:pPr>
        <w:spacing w:after="0" w:line="360" w:lineRule="auto"/>
        <w:rPr>
          <w:sz w:val="24"/>
          <w:szCs w:val="24"/>
        </w:rPr>
      </w:pPr>
    </w:p>
    <w:p>
      <w:pPr>
        <w:spacing w:after="0" w:line="360" w:lineRule="auto"/>
        <w:rPr>
          <w:rFonts w:hint="eastAsia" w:eastAsia="宋体"/>
          <w:sz w:val="24"/>
          <w:szCs w:val="24"/>
          <w:lang w:eastAsia="zh-CN"/>
        </w:rPr>
        <w:sectPr>
          <w:headerReference r:id="rId3" w:type="default"/>
          <w:footerReference r:id="rId4" w:type="default"/>
          <w:pgSz w:w="11910" w:h="16840"/>
          <w:pgMar w:top="1380" w:right="500" w:bottom="1740" w:left="1580" w:header="40" w:footer="1557" w:gutter="0"/>
          <w:pgNumType w:start="1"/>
        </w:sect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5005070" cy="3754120"/>
            <wp:effectExtent l="0" t="0" r="5080" b="17780"/>
            <wp:docPr id="2" name="图片 2" descr="低压分路监测单元-江苏标准单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低压分路监测单元-江苏标准单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6"/>
        <w:rPr>
          <w:rFonts w:hint="eastAsia" w:eastAsia="宋体"/>
          <w:lang w:eastAsia="zh-CN"/>
        </w:rPr>
      </w:pPr>
      <w:r>
        <w:t>二、功能</w:t>
      </w:r>
      <w:r>
        <w:rPr>
          <w:rFonts w:hint="eastAsia"/>
          <w:lang w:eastAsia="zh-CN"/>
        </w:rPr>
        <w:t>特点</w:t>
      </w:r>
    </w:p>
    <w:p>
      <w:pPr>
        <w:pStyle w:val="7"/>
        <w:numPr>
          <w:ilvl w:val="1"/>
          <w:numId w:val="2"/>
        </w:numPr>
        <w:tabs>
          <w:tab w:val="left" w:pos="843"/>
        </w:tabs>
        <w:spacing w:before="43" w:after="0" w:line="240" w:lineRule="auto"/>
        <w:ind w:left="842" w:right="0" w:hanging="206"/>
        <w:jc w:val="left"/>
        <w:rPr>
          <w:sz w:val="21"/>
        </w:rPr>
      </w:pPr>
      <w:r>
        <w:rPr>
          <w:sz w:val="21"/>
        </w:rPr>
        <w:t>采用一体化、低功耗的产品，具有高可靠性和适应性。</w:t>
      </w:r>
    </w:p>
    <w:p>
      <w:pPr>
        <w:pStyle w:val="7"/>
        <w:numPr>
          <w:ilvl w:val="1"/>
          <w:numId w:val="2"/>
        </w:numPr>
        <w:tabs>
          <w:tab w:val="left" w:pos="831"/>
        </w:tabs>
        <w:spacing w:before="43" w:after="0" w:line="278" w:lineRule="auto"/>
        <w:ind w:left="217" w:right="1295" w:firstLine="420"/>
        <w:jc w:val="left"/>
        <w:rPr>
          <w:sz w:val="21"/>
        </w:rPr>
      </w:pPr>
      <w:r>
        <w:rPr>
          <w:sz w:val="21"/>
        </w:rPr>
        <w:t xml:space="preserve">采用开合式结构，并具备锁紧部件，满足现场安装的便利性、牢固性、规范性和安全 </w:t>
      </w:r>
      <w:r>
        <w:rPr>
          <w:spacing w:val="-6"/>
          <w:w w:val="95"/>
          <w:sz w:val="21"/>
        </w:rPr>
        <w:t xml:space="preserve"> </w:t>
      </w:r>
      <w:r>
        <w:rPr>
          <w:spacing w:val="-6"/>
          <w:sz w:val="21"/>
        </w:rPr>
        <w:t>性要求。</w:t>
      </w:r>
    </w:p>
    <w:p>
      <w:pPr>
        <w:pStyle w:val="7"/>
        <w:numPr>
          <w:ilvl w:val="1"/>
          <w:numId w:val="2"/>
        </w:numPr>
        <w:tabs>
          <w:tab w:val="left" w:pos="831"/>
        </w:tabs>
        <w:spacing w:before="0" w:after="0" w:line="278" w:lineRule="auto"/>
        <w:ind w:left="217" w:right="1297" w:firstLine="420"/>
        <w:jc w:val="left"/>
        <w:rPr>
          <w:sz w:val="21"/>
        </w:rPr>
      </w:pPr>
      <w:r>
        <w:rPr>
          <w:spacing w:val="-5"/>
          <w:sz w:val="21"/>
        </w:rPr>
        <w:t xml:space="preserve">使用热固性树脂材料，通过浇注和固化工艺制造，铁芯开口密封处理；采用热固型户 </w:t>
      </w:r>
      <w:r>
        <w:rPr>
          <w:spacing w:val="-5"/>
          <w:w w:val="95"/>
          <w:sz w:val="21"/>
        </w:rPr>
        <w:t xml:space="preserve"> </w:t>
      </w:r>
      <w:r>
        <w:rPr>
          <w:spacing w:val="-5"/>
          <w:sz w:val="21"/>
        </w:rPr>
        <w:t>外用硅橡胶密封圈，防水防尘。</w:t>
      </w:r>
    </w:p>
    <w:p>
      <w:pPr>
        <w:pStyle w:val="7"/>
        <w:numPr>
          <w:ilvl w:val="1"/>
          <w:numId w:val="2"/>
        </w:numPr>
        <w:tabs>
          <w:tab w:val="left" w:pos="843"/>
        </w:tabs>
        <w:spacing w:before="0" w:after="0" w:line="278" w:lineRule="auto"/>
        <w:ind w:left="217" w:right="1297" w:firstLine="420"/>
        <w:jc w:val="both"/>
        <w:rPr>
          <w:sz w:val="21"/>
        </w:rPr>
      </w:pPr>
      <w:r>
        <w:rPr>
          <w:spacing w:val="-5"/>
          <w:sz w:val="21"/>
        </w:rPr>
        <w:t xml:space="preserve">使用独立的保护用电流互感器和测量用电流互感器：保护用电流互感器用于测量线路  的故障电流以及实现线路故障检测功能；测量用电流互感器用于测量线路的负载电流、有功 </w:t>
      </w:r>
      <w:r>
        <w:rPr>
          <w:spacing w:val="-8"/>
          <w:w w:val="95"/>
          <w:sz w:val="21"/>
        </w:rPr>
        <w:t xml:space="preserve">  </w:t>
      </w:r>
      <w:r>
        <w:rPr>
          <w:spacing w:val="-8"/>
          <w:sz w:val="21"/>
        </w:rPr>
        <w:t>功率、无功功率等。</w:t>
      </w:r>
    </w:p>
    <w:p>
      <w:pPr>
        <w:pStyle w:val="7"/>
        <w:numPr>
          <w:ilvl w:val="1"/>
          <w:numId w:val="2"/>
        </w:numPr>
        <w:tabs>
          <w:tab w:val="left" w:pos="819"/>
        </w:tabs>
        <w:spacing w:before="0" w:after="0" w:line="278" w:lineRule="auto"/>
        <w:ind w:left="637" w:right="1295" w:firstLine="0"/>
        <w:jc w:val="left"/>
        <w:rPr>
          <w:sz w:val="21"/>
        </w:rPr>
      </w:pPr>
      <w:r>
        <w:rPr>
          <w:spacing w:val="-5"/>
          <w:sz w:val="21"/>
        </w:rPr>
        <w:t xml:space="preserve">具备线路的相电压、相测量电流、相有功功率、相无功功率、温度、相保护电流的计 </w:t>
      </w:r>
      <w:r>
        <w:rPr>
          <w:spacing w:val="-6"/>
          <w:w w:val="95"/>
          <w:sz w:val="21"/>
        </w:rPr>
        <w:t xml:space="preserve"> </w:t>
      </w:r>
      <w:r>
        <w:rPr>
          <w:spacing w:val="-6"/>
          <w:sz w:val="21"/>
        </w:rPr>
        <w:t>算功能。</w:t>
      </w:r>
    </w:p>
    <w:p>
      <w:pPr>
        <w:pStyle w:val="7"/>
        <w:numPr>
          <w:ilvl w:val="1"/>
          <w:numId w:val="2"/>
        </w:numPr>
        <w:tabs>
          <w:tab w:val="left" w:pos="807"/>
        </w:tabs>
        <w:spacing w:before="0" w:after="0" w:line="278" w:lineRule="auto"/>
        <w:ind w:left="217" w:right="1295" w:firstLine="420"/>
        <w:jc w:val="left"/>
        <w:rPr>
          <w:sz w:val="21"/>
        </w:rPr>
      </w:pPr>
      <w:r>
        <w:rPr>
          <w:spacing w:val="-5"/>
          <w:sz w:val="21"/>
        </w:rPr>
        <w:t xml:space="preserve">具备相故障指示功能，宜以保护电流基波分量作为故障判别输入量，故障指示动作后  </w:t>
      </w:r>
      <w:r>
        <w:rPr>
          <w:spacing w:val="-4"/>
          <w:sz w:val="21"/>
        </w:rPr>
        <w:t>状态应保持，直至复归。</w:t>
      </w:r>
    </w:p>
    <w:p>
      <w:pPr>
        <w:pStyle w:val="7"/>
        <w:numPr>
          <w:ilvl w:val="1"/>
          <w:numId w:val="2"/>
        </w:numPr>
        <w:tabs>
          <w:tab w:val="left" w:pos="843"/>
        </w:tabs>
        <w:spacing w:before="0" w:after="0" w:line="278" w:lineRule="auto"/>
        <w:ind w:left="217" w:right="1367" w:firstLine="420"/>
        <w:jc w:val="left"/>
        <w:rPr>
          <w:sz w:val="21"/>
        </w:rPr>
      </w:pPr>
      <w:r>
        <w:rPr>
          <w:spacing w:val="-5"/>
          <w:sz w:val="21"/>
        </w:rPr>
        <w:t xml:space="preserve">具备相有压/无压检测功能。当电压大于有压判定限值时判定为有压状态，反之判定  </w:t>
      </w:r>
      <w:r>
        <w:rPr>
          <w:sz w:val="21"/>
        </w:rPr>
        <w:t>为无压状态。</w:t>
      </w:r>
    </w:p>
    <w:p>
      <w:pPr>
        <w:pStyle w:val="7"/>
        <w:numPr>
          <w:ilvl w:val="1"/>
          <w:numId w:val="2"/>
        </w:numPr>
        <w:tabs>
          <w:tab w:val="left" w:pos="843"/>
        </w:tabs>
        <w:spacing w:before="0" w:after="0" w:line="269" w:lineRule="exact"/>
        <w:ind w:left="842" w:right="0" w:hanging="206"/>
        <w:jc w:val="left"/>
        <w:rPr>
          <w:sz w:val="21"/>
        </w:rPr>
      </w:pPr>
      <w:r>
        <w:rPr>
          <w:spacing w:val="-18"/>
          <w:sz w:val="21"/>
        </w:rPr>
        <w:t xml:space="preserve">具备 </w:t>
      </w:r>
      <w:r>
        <w:rPr>
          <w:rFonts w:ascii="Times New Roman" w:eastAsia="Times New Roman"/>
          <w:sz w:val="21"/>
        </w:rPr>
        <w:t>RS485</w:t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z w:val="21"/>
        </w:rPr>
        <w:t>接口的免调试通讯功能，通讯接口应与相电压输入、工作电源等电气隔</w:t>
      </w:r>
    </w:p>
    <w:p>
      <w:pPr>
        <w:pStyle w:val="3"/>
        <w:spacing w:before="42"/>
        <w:ind w:left="217"/>
      </w:pPr>
      <w:r>
        <w:t>离。</w:t>
      </w:r>
    </w:p>
    <w:p>
      <w:pPr>
        <w:pStyle w:val="7"/>
        <w:numPr>
          <w:ilvl w:val="1"/>
          <w:numId w:val="2"/>
        </w:numPr>
        <w:tabs>
          <w:tab w:val="left" w:pos="760"/>
        </w:tabs>
        <w:spacing w:before="43" w:after="0" w:line="240" w:lineRule="auto"/>
        <w:ind w:left="760" w:right="0" w:hanging="123"/>
        <w:jc w:val="left"/>
        <w:rPr>
          <w:sz w:val="21"/>
        </w:rPr>
      </w:pPr>
      <w:r>
        <w:rPr>
          <w:spacing w:val="-18"/>
          <w:sz w:val="21"/>
        </w:rPr>
        <w:t xml:space="preserve">具有 </w:t>
      </w:r>
      <w:r>
        <w:rPr>
          <w:rFonts w:ascii="Times New Roman" w:eastAsia="Times New Roman"/>
          <w:sz w:val="21"/>
        </w:rPr>
        <w:t>64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位设备唯一标识符。</w:t>
      </w:r>
    </w:p>
    <w:p>
      <w:pPr>
        <w:pStyle w:val="7"/>
        <w:numPr>
          <w:ilvl w:val="1"/>
          <w:numId w:val="2"/>
        </w:numPr>
        <w:tabs>
          <w:tab w:val="left" w:pos="773"/>
        </w:tabs>
        <w:spacing w:before="43" w:after="0" w:line="240" w:lineRule="auto"/>
        <w:ind w:left="772" w:right="0" w:hanging="136"/>
        <w:jc w:val="left"/>
        <w:rPr>
          <w:sz w:val="21"/>
        </w:rPr>
      </w:pPr>
      <w:r>
        <w:rPr>
          <w:sz w:val="21"/>
        </w:rPr>
        <w:t>具备通道系数、相故障指示动作值等参数设置功能</w:t>
      </w:r>
      <w:bookmarkStart w:id="0" w:name="_GoBack"/>
      <w:bookmarkEnd w:id="0"/>
    </w:p>
    <w:sectPr>
      <w:footerReference r:id="rId5" w:type="default"/>
      <w:pgSz w:w="11910" w:h="16840"/>
      <w:pgMar w:top="1380" w:right="500" w:bottom="1860" w:left="1580" w:header="40" w:footer="158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5"/>
      </w:rPr>
    </w:pPr>
    <w:r>
      <w:pict>
        <v:shape id="_x0000_s2050" o:spid="_x0000_s2050" o:spt="202" type="#_x0000_t202" style="position:absolute;left:0pt;margin-left:292.95pt;margin-top:744.05pt;height:22.6pt;width:9.25pt;mso-position-horizontal-relative:page;mso-position-vertical-relative:page;z-index:-2527344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before="19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4"/>
      </w:rPr>
    </w:pPr>
    <w:r>
      <w:pict>
        <v:shape id="_x0000_s2052" o:spid="_x0000_s2052" o:spt="202" type="#_x0000_t202" style="position:absolute;left:0pt;margin-left:292.95pt;margin-top:742.35pt;height:21.4pt;width:9.25pt;mso-position-horizontal-relative:page;mso-position-vertical-relative:page;z-index:-2527324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before="166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49" o:spid="_x0000_s2049" o:spt="20" style="position:absolute;left:0pt;margin-left:89.8pt;margin-top:11.65pt;height:0pt;width:415.6pt;mso-position-horizontal-relative:page;mso-position-vertical-relative:page;z-index:-252735488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6" w:hanging="15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19"/>
        <w:szCs w:val="19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842" w:hanging="20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8" w:hanging="2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6" w:hanging="2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5" w:hanging="2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3" w:hanging="2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2" w:hanging="2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30" w:hanging="2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9" w:hanging="20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6" w:hanging="15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4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9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36" w:hanging="15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B7E575B"/>
    <w:rsid w:val="4D282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76" w:hanging="160"/>
      <w:outlineLvl w:val="1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76" w:hanging="1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2019-11-17T07:44:00Z</dcterms:created>
  <dc:creator>CH</dc:creator>
  <cp:lastModifiedBy>亿诺电气</cp:lastModifiedBy>
  <dcterms:modified xsi:type="dcterms:W3CDTF">2019-11-17T08:48:51Z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2019-11-17T00:00:00Z</vt:filetime>
  </property>
  <property fmtid="{D5CDD505-2E9C-101B-9397-08002B2CF9AE}" pid="5" name="KSOProductBuildVer">
    <vt:lpwstr>2052-11.1.0.9175</vt:lpwstr>
  </property>
</Properties>
</file>